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</w:p>
    <w:p>
      <w:pPr>
        <w:pStyle w:val="2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领导小组成员名单</w:t>
      </w:r>
    </w:p>
    <w:p>
      <w:pPr>
        <w:pStyle w:val="2"/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一、领导小组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组  长：省交通运输厅党组成员、副厅长汪祝君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成  员: 厅综合计划处、航空处、建管处、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省海员交通工会、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省铁路办公室、省交通综合执法局质量分局、厅公路事业发展中心、厅港航事业发展中心、省交通工程建设局等有关处室负责人。</w:t>
      </w:r>
    </w:p>
    <w:p>
      <w:pPr>
        <w:pStyle w:val="2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二、领导小组办公室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主任：省海员交通工会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主任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唐韧</w:t>
      </w:r>
    </w:p>
    <w:p>
      <w:pPr>
        <w:tabs>
          <w:tab w:val="left" w:pos="2127"/>
        </w:tabs>
        <w:spacing w:line="560" w:lineRule="exact"/>
        <w:ind w:firstLine="640" w:firstLineChars="200"/>
        <w:jc w:val="left"/>
        <w:rPr>
          <w:rFonts w:ascii="仿宋_GB2312" w:hAnsi="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成员：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厅航空处、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省海员交通工会、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省铁路办公室、厅公路发展中心、厅港航发展中心、省交通工程建设局具体负责同志。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联络员</w:t>
      </w:r>
      <w:r>
        <w:rPr>
          <w:rFonts w:asci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由成员单位具体工作人员组成。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</w:t>
      </w:r>
    </w:p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省级参赛项目列表</w:t>
      </w:r>
    </w:p>
    <w:p>
      <w:pPr>
        <w:pStyle w:val="2"/>
        <w:spacing w:line="24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tbl>
      <w:tblPr>
        <w:tblStyle w:val="7"/>
        <w:tblW w:w="8780" w:type="dxa"/>
        <w:tblInd w:w="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5158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8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58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534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干线铁路建设项目（10个）</w:t>
            </w:r>
          </w:p>
        </w:tc>
        <w:tc>
          <w:tcPr>
            <w:tcW w:w="2534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苏南沿江铁路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省铁路办</w:t>
            </w:r>
          </w:p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省铁路集团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徐宿淮盐铁路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沪通铁路一期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连淮扬镇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连徐高铁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盐通铁路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沪苏湖铁路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宁淮铁路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北沿江高铁（含宁合）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沪通铁路二期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机场建设项目（3个）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南京禄口机场T1航站楼改造工程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厅航空处</w:t>
            </w:r>
          </w:p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东部机场集团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连云港民用机场迁建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硕放机场停机坪工程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高速公路建设项目（6个）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京沪高速公路改扩建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省交建局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江苏交通控股公司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苏锡常南部高速常州至无锡段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省交建局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五峰山过江通道南北公路接线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宜兴至长兴高速公路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海安至启东高速公路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19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无锡至南通过江通道公路北接线、南接线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88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58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534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国省干线建设项目（10个）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15"/>
                <w:rFonts w:ascii="方正仿宋_GBK" w:hAnsi="方正仿宋_GBK" w:eastAsia="方正仿宋_GBK" w:cs="方正仿宋_GBK"/>
                <w:sz w:val="28"/>
                <w:szCs w:val="28"/>
              </w:rPr>
              <w:t>60省道高淳西段改扩建工程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厅公路中心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21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15"/>
                <w:rFonts w:ascii="方正仿宋_GBK" w:hAnsi="方正仿宋_GBK" w:eastAsia="方正仿宋_GBK" w:cs="方正仿宋_GBK"/>
                <w:sz w:val="28"/>
                <w:szCs w:val="28"/>
              </w:rPr>
              <w:t>40省道无锡段改扩建工程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22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15"/>
                <w:rFonts w:ascii="方正仿宋_GBK" w:hAnsi="方正仿宋_GBK" w:eastAsia="方正仿宋_GBK" w:cs="方正仿宋_GBK"/>
                <w:sz w:val="28"/>
                <w:szCs w:val="28"/>
              </w:rPr>
              <w:t>44省道邳州段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23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312国道苏州东段改扩建工程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24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Style w:val="15"/>
                <w:rFonts w:ascii="方正仿宋_GBK" w:hAnsi="方正仿宋_GBK" w:eastAsia="方正仿宋_GBK" w:cs="方正仿宋_GBK"/>
                <w:sz w:val="28"/>
                <w:szCs w:val="28"/>
              </w:rPr>
              <w:t>226海安段建设工程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25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233国道灌云北环段（204国道至236省道段）建设工程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26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15"/>
                <w:rFonts w:ascii="方正仿宋_GBK" w:hAnsi="方正仿宋_GBK" w:eastAsia="方正仿宋_GBK" w:cs="方正仿宋_GBK"/>
                <w:sz w:val="28"/>
                <w:szCs w:val="28"/>
              </w:rPr>
              <w:t>20省道金湖段建设工程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27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15"/>
                <w:rFonts w:ascii="方正仿宋_GBK" w:hAnsi="方正仿宋_GBK" w:eastAsia="方正仿宋_GBK" w:cs="方正仿宋_GBK"/>
                <w:sz w:val="28"/>
                <w:szCs w:val="28"/>
              </w:rPr>
              <w:t>28国道仪征段改扩建工程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229省道兴化段改扩建工程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29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329省道沭阳段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5158" w:type="dxa"/>
            <w:vAlign w:val="center"/>
          </w:tcPr>
          <w:p>
            <w:pPr>
              <w:widowControl/>
              <w:spacing w:line="3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港航建设项目（3个）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苏州港太仓港区四期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省港口集团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31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新孟河延伸拓浚工程前黄枢纽工程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厅港航中心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88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32</w:t>
            </w:r>
          </w:p>
        </w:tc>
        <w:tc>
          <w:tcPr>
            <w:tcW w:w="5158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秦淮河溧水石臼湖至江宁彭福段航道整治工程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ind w:left="2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color w:val="000000"/>
          <w:sz w:val="32"/>
          <w:szCs w:val="32"/>
        </w:rPr>
        <w:sectPr>
          <w:footerReference r:id="rId3" w:type="default"/>
          <w:pgSz w:w="11907" w:h="16840"/>
          <w:pgMar w:top="1701" w:right="1588" w:bottom="1701" w:left="1588" w:header="851" w:footer="1247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附件3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交通强省重点工程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劳动竞赛评比规则</w:t>
      </w:r>
    </w:p>
    <w:tbl>
      <w:tblPr>
        <w:tblStyle w:val="6"/>
        <w:tblpPr w:leftFromText="180" w:rightFromText="180" w:vertAnchor="text" w:horzAnchor="page" w:tblpX="1195" w:tblpY="1134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50"/>
        <w:gridCol w:w="2655"/>
        <w:gridCol w:w="600"/>
        <w:gridCol w:w="3930"/>
        <w:gridCol w:w="76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vAlign w:val="center"/>
          </w:tcPr>
          <w:p>
            <w:pPr>
              <w:pStyle w:val="17"/>
              <w:shd w:val="clear" w:color="auto" w:fill="auto"/>
              <w:adjustRightInd w:val="0"/>
              <w:snapToGrid w:val="0"/>
              <w:spacing w:before="0" w:line="300" w:lineRule="exact"/>
              <w:jc w:val="center"/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序</w:t>
            </w:r>
          </w:p>
          <w:p>
            <w:pPr>
              <w:pStyle w:val="17"/>
              <w:shd w:val="clear" w:color="auto" w:fill="auto"/>
              <w:adjustRightInd w:val="0"/>
              <w:snapToGrid w:val="0"/>
              <w:spacing w:before="0" w:line="300" w:lineRule="exact"/>
              <w:jc w:val="center"/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pStyle w:val="17"/>
              <w:shd w:val="clear" w:color="auto" w:fill="auto"/>
              <w:spacing w:before="0" w:after="120"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考核项目</w:t>
            </w:r>
          </w:p>
        </w:tc>
        <w:tc>
          <w:tcPr>
            <w:tcW w:w="2655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ind w:right="60"/>
              <w:jc w:val="center"/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考核标准</w:t>
            </w:r>
          </w:p>
        </w:tc>
        <w:tc>
          <w:tcPr>
            <w:tcW w:w="60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ind w:right="60"/>
              <w:jc w:val="center"/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标准分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ind w:right="60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  <w:t>扣分</w:t>
            </w:r>
            <w:r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765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b/>
                <w:bCs/>
                <w:sz w:val="22"/>
                <w:szCs w:val="22"/>
              </w:rPr>
              <w:t>扣分</w:t>
            </w:r>
          </w:p>
        </w:tc>
        <w:tc>
          <w:tcPr>
            <w:tcW w:w="735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工程</w:t>
            </w: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质量</w:t>
            </w:r>
          </w:p>
          <w:p>
            <w:pPr>
              <w:pStyle w:val="17"/>
              <w:shd w:val="clear" w:color="auto" w:fill="auto"/>
              <w:spacing w:before="0" w:line="360" w:lineRule="auto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建立健全质量保证体系和工作机制，发扬工匠精神，狠抓工程质量标准化管理，严格按照标准规范施工，切实提升工程质量水平，杜绝质量责任事故。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未建立健全工程质量保证体制，未严格执行施工建设标准和规范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未健全工程质量责任制，未明确项目各参建单位质量管理关键人岗位职责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未有效开展品质工程创建，工程中发现的问题未及时清除到位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发生过等级以上质量事故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0-8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2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2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工程质量年度考核验收低于优良等级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质量全过程真实完整、闭环可追溯记录缺失或不完善，隐蔽工程过程佐证资料不齐全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after="10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after="10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安全</w:t>
            </w:r>
          </w:p>
          <w:p>
            <w:pPr>
              <w:pStyle w:val="17"/>
              <w:shd w:val="clear" w:color="auto" w:fill="auto"/>
              <w:spacing w:before="10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生产</w:t>
            </w: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认真贯彻落实“以人为本，坚持安全发展，坚持安全第一、预防为主、综合治理”的方针，强化和落实安全生产责任制，建立健全安全生产规章制度，推进安全生产标准化建设，强化工程施工现场安全管理，开展风险辨识隐患排查治理。大力普及安全知识，增强职工安全意识，消除安全隐患，杜绝违章作业，确保工程安全生产零事故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安全管理机构、</w:t>
            </w: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安全责任制未</w:t>
            </w:r>
            <w:r>
              <w:rPr>
                <w:rStyle w:val="18"/>
                <w:rFonts w:hint="eastAsia" w:ascii="Times New Roman" w:hAnsi="Times New Roman" w:eastAsia="宋体" w:cs="Times New Roman"/>
              </w:rPr>
              <w:t>健全、责任</w:t>
            </w: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考核未</w:t>
            </w:r>
            <w:r>
              <w:rPr>
                <w:rStyle w:val="18"/>
                <w:rFonts w:hint="eastAsia" w:ascii="Times New Roman" w:hAnsi="Times New Roman" w:eastAsia="宋体" w:cs="Times New Roman"/>
              </w:rPr>
              <w:t>落实、未</w:t>
            </w: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及时开展安全专项活动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未对所有进场人员、机械设备进行分类登记和动态管理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未及时组织开展安全教育培训、安全会议和安全技术交底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未规范开展各类专项安全检查、月度安全大检查及日常巡查工作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0-4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ind w:left="160" w:right="18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ind w:left="160" w:right="180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未规范开展专项施工方案的编制、风险源识别、风险评估和应急管理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ind w:left="160" w:right="18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ind w:left="160" w:right="180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未规范使用安全生产经费，未对危化品、消防器材、消防设施、气瓶等建立分类登记台账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ind w:left="160" w:right="18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ind w:left="160" w:right="180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lang w:val="en-US"/>
              </w:rPr>
              <w:t>未建立安全事故档案，及时填报生产安全事故月报表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10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pStyle w:val="17"/>
              <w:shd w:val="clear" w:color="auto" w:fill="auto"/>
              <w:spacing w:before="10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工程</w:t>
            </w:r>
          </w:p>
          <w:p>
            <w:pPr>
              <w:pStyle w:val="17"/>
              <w:shd w:val="clear" w:color="auto" w:fill="auto"/>
              <w:spacing w:before="10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环境</w:t>
            </w:r>
          </w:p>
          <w:p>
            <w:pPr>
              <w:pStyle w:val="17"/>
              <w:shd w:val="clear" w:color="auto" w:fill="auto"/>
              <w:spacing w:before="10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28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加强项目管理体系建设，运用新技术、新措施提高工程生态效益。优化施工设计，把施工对当地生态环境的污染和对周边群众的影响降到最低限度，实现规范有序的现场管理，建立文明的施工环境。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未开展对生态敏感（脆弱）区域的重点监测，或者监测方案科学，监测点位布设不合理。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0-2.5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施工过程的生态保护、修复措施不到位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0-2.5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未采用节能技术、产品、设备和清洁能源，或节能效果不明显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0-2.5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tabs>
                <w:tab w:val="left" w:pos="6624"/>
              </w:tabs>
              <w:spacing w:before="0" w:line="300" w:lineRule="exact"/>
              <w:ind w:right="16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tabs>
                <w:tab w:val="left" w:pos="6624"/>
              </w:tabs>
              <w:spacing w:before="0" w:line="380" w:lineRule="exact"/>
              <w:ind w:right="160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施工现场出现脏、乱、差现象，未采取措施减少施工对环境和对周边群众的影响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</w:t>
            </w: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 w:bidi="en-US"/>
              </w:rPr>
              <w:t>2.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工程</w:t>
            </w: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管理</w:t>
            </w: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根据工程基建程序要求，严格执行工程建设“五制”;严格项目招投标工作;不断规范征地拆迁工作程序，维护人民群众切身利益;及时完善设计变更手续，重点强化对工程建设资金管理，推进工程建设管理水平再上新台阶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未严格执行工程建设中项目法人责任制、工程监理制、招投标制、合同管理制、资本金制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各类台账资料不规范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项目管理机构不健全，岗位设置不合理，岗位责任不清晰明确，管理人员配备不符合专业化管理要求，管理队伍能力和水平不高。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设计变更手续不及时，建设资金管理不规范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技术</w:t>
            </w: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创新</w:t>
            </w: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17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竞赛活动与开展工程技术创新、提高队伍自主创新能力相结合，广泛开展技术攻关、发明创造、科技培训等创新活动，培育选树更多示范性劳模</w:t>
            </w: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(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技能人才)创新工作室、党员科技攻关先锋队、创新示范岗和大师傅工作法，研究应用新技术、新工艺、新材料、新设备，实现工程建设和科技创新双丰收。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未创建科技创新机制 ，无创新工作计划，保障科研经费投入不到位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0-</w:t>
            </w: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未建立项目“四新”技术适用清单，新材料、新设备、新工艺、新技术应用未取得成效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未开展群众性合理化建议、技术革新、技术攻关活动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技术攻关、发明创造、科技培训等科技创新方面活动未开展或成效不明显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280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2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施工现场信息化运用水平不高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after="100" w:line="360" w:lineRule="auto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6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after="10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工程</w:t>
            </w:r>
          </w:p>
          <w:p>
            <w:pPr>
              <w:pStyle w:val="17"/>
              <w:shd w:val="clear" w:color="auto" w:fill="auto"/>
              <w:spacing w:before="100" w:after="10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进度</w:t>
            </w:r>
          </w:p>
          <w:p>
            <w:pPr>
              <w:pStyle w:val="17"/>
              <w:shd w:val="clear" w:color="auto" w:fill="auto"/>
              <w:spacing w:before="100" w:after="100" w:line="360" w:lineRule="auto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按照合同工期和总体工程建设要求，科学编制工程进度计划，严格执行施工进度安排，及时反馈工程进度信息；  激励职工不断强化工作技能、提高工作效率，确保全面完成或超额完成年度建设目标任务，早日发挥工程效益。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未按合同工期和工程进度编制施工计划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0-2.5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合同工期出现延误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0-2.5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工程重大进度节点未按期完成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0-2.5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有人为耽误或不合理提前工期现象发生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0-2.5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工程</w:t>
            </w: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文明</w:t>
            </w:r>
          </w:p>
          <w:p>
            <w:pPr>
              <w:pStyle w:val="17"/>
              <w:shd w:val="clear" w:color="auto" w:fill="auto"/>
              <w:spacing w:before="0" w:line="360" w:lineRule="auto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</w:rPr>
              <w:t>根据工程文明创建和廉政建设要求，不断加强党的建设，积极开展文明工地创建、“廉政文化进工地”“工人先锋号”创建等活动，丰富职工业余文化生活，劳动关系和谐稳定。不断加强作风建设，认真执行廉政建设的各项规定，围绕工程招标投标、征地拆迁、资金管理使用以及农民工工资发放等关键环节严格履行程序。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未开展党建工作和争创工人先锋号活动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0-4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1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</w:tcPr>
          <w:p>
            <w:pPr>
              <w:pStyle w:val="17"/>
              <w:shd w:val="clear" w:color="auto" w:fill="auto"/>
              <w:spacing w:before="0" w:line="38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未积极开展创建文明工地、未落实廉政文化进工地活动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2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60" w:lineRule="auto"/>
              <w:ind w:left="280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</w:tcPr>
          <w:p>
            <w:pPr>
              <w:pStyle w:val="17"/>
              <w:shd w:val="clear" w:color="auto" w:fill="auto"/>
              <w:spacing w:before="0" w:line="38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未开展技能培训、技能练兵、技能竞赛等活动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</w:tcPr>
          <w:p>
            <w:pPr>
              <w:pStyle w:val="17"/>
              <w:shd w:val="clear" w:color="auto" w:fill="auto"/>
              <w:spacing w:before="0" w:line="38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班组建设不健全，缺乏团队协作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0-2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</w:tcPr>
          <w:p>
            <w:pPr>
              <w:pStyle w:val="17"/>
              <w:shd w:val="clear" w:color="auto" w:fill="auto"/>
              <w:spacing w:before="0" w:line="38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未积极扎实开展扫黑除恶活动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 w:bidi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</w:tcPr>
          <w:p>
            <w:pPr>
              <w:pStyle w:val="17"/>
              <w:shd w:val="clear" w:color="auto" w:fill="auto"/>
              <w:spacing w:before="0" w:line="38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未建立工会，未按时拨缴工会经费，没有职代会等民主管理制度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</w:tcPr>
          <w:p>
            <w:pPr>
              <w:pStyle w:val="17"/>
              <w:shd w:val="clear" w:color="auto" w:fill="auto"/>
              <w:spacing w:before="0" w:line="38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pStyle w:val="17"/>
              <w:shd w:val="clear" w:color="auto" w:fill="auto"/>
              <w:spacing w:before="0" w:line="38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260" w:lineRule="exact"/>
              <w:rPr>
                <w:rStyle w:val="18"/>
                <w:rFonts w:ascii="Times New Roman" w:hAnsi="Times New Roman" w:eastAsia="宋体" w:cs="Times New Roman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</w:rPr>
              <w:t>存在不签订企业劳动合同现象,出现过职工集体上访等群体性事件，有拖欠职工工资等情形</w:t>
            </w: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 w:bidi="en-US"/>
              </w:rPr>
              <w:t>0-3</w:t>
            </w: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总计</w:t>
            </w:r>
          </w:p>
        </w:tc>
        <w:tc>
          <w:tcPr>
            <w:tcW w:w="2655" w:type="dxa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jc w:val="center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/>
              </w:rPr>
            </w:pPr>
            <w:r>
              <w:rPr>
                <w:rStyle w:val="18"/>
                <w:rFonts w:hint="eastAsia" w:ascii="Times New Roman" w:hAnsi="Times New Roman" w:eastAsia="宋体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3930" w:type="dxa"/>
            <w:vAlign w:val="center"/>
          </w:tcPr>
          <w:p>
            <w:pPr>
              <w:pStyle w:val="17"/>
              <w:shd w:val="clear" w:color="auto" w:fill="auto"/>
              <w:spacing w:before="0" w:line="300" w:lineRule="exact"/>
              <w:rPr>
                <w:rStyle w:val="18"/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 w:line="300" w:lineRule="exact"/>
              <w:ind w:right="20"/>
              <w:rPr>
                <w:rStyle w:val="18"/>
                <w:rFonts w:ascii="Times New Roman" w:hAnsi="Times New Roman" w:eastAsia="宋体" w:cs="Times New Roman"/>
                <w:sz w:val="22"/>
                <w:szCs w:val="22"/>
                <w:lang w:val="en-US" w:bidi="en-US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6"/>
              <w:keepNext/>
              <w:keepLines/>
              <w:shd w:val="clear" w:color="auto" w:fill="auto"/>
              <w:spacing w:before="0" w:line="300" w:lineRule="exact"/>
              <w:ind w:right="20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>
      <w:pPr>
        <w:pStyle w:val="2"/>
        <w:rPr>
          <w:rFonts w:cs="Times New Roman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附件4</w:t>
      </w:r>
    </w:p>
    <w:p>
      <w:pPr>
        <w:pStyle w:val="2"/>
        <w:ind w:left="10" w:hanging="9" w:hangingChars="3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省级以上参赛项目报名表</w:t>
      </w:r>
    </w:p>
    <w:p>
      <w:pPr>
        <w:pStyle w:val="2"/>
        <w:spacing w:line="46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460" w:lineRule="exact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申报单位：                       填报时间：</w:t>
      </w:r>
    </w:p>
    <w:tbl>
      <w:tblPr>
        <w:tblStyle w:val="7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851"/>
        <w:gridCol w:w="112"/>
        <w:gridCol w:w="1305"/>
        <w:gridCol w:w="186"/>
        <w:gridCol w:w="109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51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951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负责人姓名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93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951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项目简述</w:t>
            </w:r>
          </w:p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（起止时间、投资总额、建设目标等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951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参赛计划</w:t>
            </w:r>
          </w:p>
          <w:p>
            <w:pPr>
              <w:pStyle w:val="2"/>
              <w:spacing w:line="460" w:lineRule="exact"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（竞赛时间、竞赛目标、参赛人员、计划措施等</w:t>
            </w: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eastAsia="zh-CN"/>
              </w:rPr>
              <w:t>。可另附页。</w:t>
            </w: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8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劳动竞赛工作联络员信息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51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spacing w:line="20" w:lineRule="exact"/>
        <w:jc w:val="center"/>
        <w:rPr>
          <w:rFonts w:cs="Times New Roman"/>
          <w:color w:val="000000"/>
        </w:rPr>
      </w:pPr>
    </w:p>
    <w:sectPr>
      <w:pgSz w:w="11907" w:h="16840"/>
      <w:pgMar w:top="1701" w:right="1587" w:bottom="1701" w:left="1587" w:header="851" w:footer="1247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- 1 -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420"/>
  <w:doNotHyphenateCaps/>
  <w:drawingGridVerticalSpacing w:val="16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9272A30"/>
    <w:rsid w:val="00027EE3"/>
    <w:rsid w:val="00073EB4"/>
    <w:rsid w:val="000824A1"/>
    <w:rsid w:val="000A62DA"/>
    <w:rsid w:val="000D7164"/>
    <w:rsid w:val="000E4BD7"/>
    <w:rsid w:val="000E7CD4"/>
    <w:rsid w:val="001C64BA"/>
    <w:rsid w:val="002321A4"/>
    <w:rsid w:val="00283ADC"/>
    <w:rsid w:val="00362110"/>
    <w:rsid w:val="003D3832"/>
    <w:rsid w:val="003E3F2E"/>
    <w:rsid w:val="00400FA7"/>
    <w:rsid w:val="00404BD0"/>
    <w:rsid w:val="00483AD5"/>
    <w:rsid w:val="00486280"/>
    <w:rsid w:val="004B7CEF"/>
    <w:rsid w:val="004C0F58"/>
    <w:rsid w:val="00506F54"/>
    <w:rsid w:val="00537A6C"/>
    <w:rsid w:val="00541D92"/>
    <w:rsid w:val="00551B89"/>
    <w:rsid w:val="00563333"/>
    <w:rsid w:val="005B5AF5"/>
    <w:rsid w:val="005B7CAB"/>
    <w:rsid w:val="005D0D2B"/>
    <w:rsid w:val="005D2C0F"/>
    <w:rsid w:val="006D53C3"/>
    <w:rsid w:val="006F76C8"/>
    <w:rsid w:val="00722478"/>
    <w:rsid w:val="007A0B53"/>
    <w:rsid w:val="007B1DC2"/>
    <w:rsid w:val="007C1B85"/>
    <w:rsid w:val="00805AD5"/>
    <w:rsid w:val="00851E4A"/>
    <w:rsid w:val="0086068C"/>
    <w:rsid w:val="008A11FE"/>
    <w:rsid w:val="00902278"/>
    <w:rsid w:val="009079BF"/>
    <w:rsid w:val="009551E1"/>
    <w:rsid w:val="009836B3"/>
    <w:rsid w:val="009976FE"/>
    <w:rsid w:val="009A1301"/>
    <w:rsid w:val="009B6DE8"/>
    <w:rsid w:val="009F464B"/>
    <w:rsid w:val="00A12E65"/>
    <w:rsid w:val="00A94E9A"/>
    <w:rsid w:val="00A96240"/>
    <w:rsid w:val="00A970D9"/>
    <w:rsid w:val="00AD011C"/>
    <w:rsid w:val="00B63DBF"/>
    <w:rsid w:val="00BC13F9"/>
    <w:rsid w:val="00C063A2"/>
    <w:rsid w:val="00C1528B"/>
    <w:rsid w:val="00C422D8"/>
    <w:rsid w:val="00C60D75"/>
    <w:rsid w:val="00C8186F"/>
    <w:rsid w:val="00CC0DE4"/>
    <w:rsid w:val="00CD6173"/>
    <w:rsid w:val="00D17947"/>
    <w:rsid w:val="00D466C7"/>
    <w:rsid w:val="00D555C7"/>
    <w:rsid w:val="00DA1B55"/>
    <w:rsid w:val="00DB782A"/>
    <w:rsid w:val="00E33C47"/>
    <w:rsid w:val="00E4788F"/>
    <w:rsid w:val="00E73C5B"/>
    <w:rsid w:val="00E76EF9"/>
    <w:rsid w:val="00E80193"/>
    <w:rsid w:val="00E96748"/>
    <w:rsid w:val="00EA40AE"/>
    <w:rsid w:val="00EF28B8"/>
    <w:rsid w:val="00F4584B"/>
    <w:rsid w:val="00F610B1"/>
    <w:rsid w:val="00F76784"/>
    <w:rsid w:val="00FC159F"/>
    <w:rsid w:val="00FC7054"/>
    <w:rsid w:val="0164622C"/>
    <w:rsid w:val="09272A30"/>
    <w:rsid w:val="0A9E6155"/>
    <w:rsid w:val="19DF1EA7"/>
    <w:rsid w:val="1D362AD4"/>
    <w:rsid w:val="23EE7523"/>
    <w:rsid w:val="25EE65C1"/>
    <w:rsid w:val="2B9766EA"/>
    <w:rsid w:val="354927EF"/>
    <w:rsid w:val="3E712C99"/>
    <w:rsid w:val="46E41FC5"/>
    <w:rsid w:val="478B45AA"/>
    <w:rsid w:val="5BD43858"/>
    <w:rsid w:val="62533C59"/>
    <w:rsid w:val="66C35AED"/>
    <w:rsid w:val="74E136A2"/>
    <w:rsid w:val="76B33A36"/>
    <w:rsid w:val="79271336"/>
    <w:rsid w:val="7CE15DFD"/>
    <w:rsid w:val="7F103D16"/>
    <w:rsid w:val="7F27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sz w:val="24"/>
      <w:szCs w:val="24"/>
    </w:rPr>
  </w:style>
  <w:style w:type="paragraph" w:styleId="3">
    <w:name w:val="Date"/>
    <w:basedOn w:val="1"/>
    <w:next w:val="1"/>
    <w:link w:val="11"/>
    <w:qFormat/>
    <w:uiPriority w:val="99"/>
    <w:pPr>
      <w:ind w:left="2500" w:leftChars="2500"/>
    </w:pPr>
    <w:rPr>
      <w:rFonts w:eastAsia="仿宋_GB2312"/>
      <w:sz w:val="32"/>
      <w:szCs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正文文本 Char"/>
    <w:basedOn w:val="8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1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Heading #3|1"/>
    <w:basedOn w:val="1"/>
    <w:qFormat/>
    <w:uiPriority w:val="0"/>
    <w:pPr>
      <w:shd w:val="clear" w:color="auto" w:fill="FFFFFF"/>
      <w:spacing w:before="280" w:line="360" w:lineRule="exact"/>
      <w:jc w:val="center"/>
      <w:outlineLvl w:val="2"/>
    </w:pPr>
    <w:rPr>
      <w:rFonts w:ascii="PMingLiU" w:hAnsi="PMingLiU" w:eastAsia="PMingLiU" w:cs="PMingLiU"/>
      <w:sz w:val="36"/>
      <w:szCs w:val="36"/>
    </w:rPr>
  </w:style>
  <w:style w:type="paragraph" w:customStyle="1" w:styleId="17">
    <w:name w:val="Body text|2"/>
    <w:basedOn w:val="1"/>
    <w:link w:val="19"/>
    <w:qFormat/>
    <w:uiPriority w:val="0"/>
    <w:pPr>
      <w:shd w:val="clear" w:color="auto" w:fill="FFFFFF"/>
      <w:spacing w:before="580" w:line="576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18">
    <w:name w:val="Body text|2 + 10 pt"/>
    <w:basedOn w:val="19"/>
    <w:unhideWhenUsed/>
    <w:qFormat/>
    <w:uiPriority w:val="0"/>
    <w:rPr>
      <w:color w:val="000000"/>
      <w:spacing w:val="0"/>
      <w:w w:val="100"/>
      <w:position w:val="0"/>
      <w:sz w:val="20"/>
      <w:szCs w:val="20"/>
      <w:lang w:val="zh-CN" w:eastAsia="zh-CN" w:bidi="zh-CN"/>
    </w:rPr>
  </w:style>
  <w:style w:type="character" w:customStyle="1" w:styleId="19">
    <w:name w:val="Body text|2_"/>
    <w:basedOn w:val="8"/>
    <w:link w:val="17"/>
    <w:qFormat/>
    <w:uiPriority w:val="0"/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505</Words>
  <Characters>2882</Characters>
  <Lines>24</Lines>
  <Paragraphs>6</Paragraphs>
  <TotalTime>2</TotalTime>
  <ScaleCrop>false</ScaleCrop>
  <LinksUpToDate>false</LinksUpToDate>
  <CharactersWithSpaces>3381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2019-05-06T15:41:00Z</dcterms:created>
  <dc:creator>Administrator</dc:creator>
  <cp:lastModifiedBy>Administrator</cp:lastModifiedBy>
  <cp:lastPrinted>2019-05-23T08:03:00Z</cp:lastPrinted>
  <dcterms:modified xsi:type="dcterms:W3CDTF">2019-06-17T10:13:56Z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